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BB61DD" w:rsidRPr="002146A9" w14:paraId="6267232C" w14:textId="77777777" w:rsidTr="00DC3912">
        <w:tc>
          <w:tcPr>
            <w:tcW w:w="11057" w:type="dxa"/>
            <w:gridSpan w:val="2"/>
            <w:shd w:val="clear" w:color="auto" w:fill="auto"/>
          </w:tcPr>
          <w:p w14:paraId="7843F6FC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43990">
              <w:rPr>
                <w:rFonts w:ascii="Arial" w:hAnsi="Arial" w:cs="Arial"/>
                <w:sz w:val="20"/>
                <w:szCs w:val="20"/>
              </w:rPr>
              <w:t>Názov dokumentu: Smernica</w:t>
            </w:r>
          </w:p>
        </w:tc>
      </w:tr>
      <w:tr w:rsidR="00BB61DD" w:rsidRPr="00061C4F" w14:paraId="5A386849" w14:textId="77777777" w:rsidTr="00DC3912">
        <w:tc>
          <w:tcPr>
            <w:tcW w:w="11057" w:type="dxa"/>
            <w:gridSpan w:val="2"/>
            <w:shd w:val="clear" w:color="auto" w:fill="auto"/>
          </w:tcPr>
          <w:p w14:paraId="29BD321E" w14:textId="77777777" w:rsidR="00BB61DD" w:rsidRPr="00143990" w:rsidRDefault="00BB61DD" w:rsidP="00DC3912">
            <w:pPr>
              <w:jc w:val="both"/>
              <w:rPr>
                <w:rFonts w:ascii="Tahoma" w:hAnsi="Tahoma" w:cs="Tahoma"/>
                <w:color w:val="404040"/>
                <w:sz w:val="20"/>
                <w:szCs w:val="20"/>
              </w:rPr>
            </w:pPr>
            <w:r w:rsidRPr="00143990">
              <w:rPr>
                <w:rFonts w:ascii="Arial" w:hAnsi="Arial" w:cs="Arial"/>
                <w:sz w:val="20"/>
                <w:szCs w:val="20"/>
              </w:rPr>
              <w:t xml:space="preserve">Názov smernice: </w:t>
            </w:r>
            <w:r w:rsidRPr="001439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E.1 </w:t>
            </w:r>
            <w:r w:rsidRPr="00143990">
              <w:rPr>
                <w:rFonts w:ascii="Arial" w:hAnsi="Arial" w:cs="Arial"/>
                <w:sz w:val="20"/>
                <w:szCs w:val="20"/>
              </w:rPr>
              <w:t>Systém vedenia účtovníctva a obeh účtovných dokladov</w:t>
            </w:r>
          </w:p>
        </w:tc>
      </w:tr>
      <w:tr w:rsidR="00BB61DD" w:rsidRPr="002146A9" w14:paraId="11A3B8DE" w14:textId="77777777" w:rsidTr="00DC3912">
        <w:tc>
          <w:tcPr>
            <w:tcW w:w="11057" w:type="dxa"/>
            <w:gridSpan w:val="2"/>
            <w:shd w:val="clear" w:color="auto" w:fill="auto"/>
          </w:tcPr>
          <w:p w14:paraId="4105ABFC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>Číslo smernice/verzia/vydanie</w:t>
            </w:r>
            <w:r w:rsidRPr="00143990">
              <w:rPr>
                <w:rFonts w:ascii="Arial" w:hAnsi="Arial" w:cs="Arial"/>
                <w:sz w:val="20"/>
                <w:szCs w:val="20"/>
              </w:rPr>
              <w:t>: E.1/V.1/31012017</w:t>
            </w:r>
          </w:p>
        </w:tc>
      </w:tr>
      <w:tr w:rsidR="00BB61DD" w:rsidRPr="002146A9" w14:paraId="4F681CBE" w14:textId="77777777" w:rsidTr="00DC3912">
        <w:tc>
          <w:tcPr>
            <w:tcW w:w="11057" w:type="dxa"/>
            <w:gridSpan w:val="2"/>
            <w:shd w:val="clear" w:color="auto" w:fill="auto"/>
          </w:tcPr>
          <w:p w14:paraId="50F7D9B7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43990">
              <w:rPr>
                <w:rFonts w:ascii="Arial" w:hAnsi="Arial" w:cs="Arial"/>
                <w:sz w:val="20"/>
                <w:szCs w:val="20"/>
              </w:rPr>
              <w:t>Dátum vydania a účinnosti: 31.1.2017 / 31.1.2017</w:t>
            </w:r>
          </w:p>
        </w:tc>
      </w:tr>
      <w:tr w:rsidR="00BB61DD" w:rsidRPr="002146A9" w14:paraId="53CDC80E" w14:textId="77777777" w:rsidTr="00DC3912">
        <w:tc>
          <w:tcPr>
            <w:tcW w:w="4678" w:type="dxa"/>
            <w:shd w:val="clear" w:color="auto" w:fill="auto"/>
          </w:tcPr>
          <w:p w14:paraId="68238800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>Spracoval: Oldřich Kovář</w:t>
            </w:r>
          </w:p>
        </w:tc>
        <w:tc>
          <w:tcPr>
            <w:tcW w:w="6379" w:type="dxa"/>
            <w:shd w:val="clear" w:color="auto" w:fill="auto"/>
          </w:tcPr>
          <w:p w14:paraId="3625662E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>Spracoval</w:t>
            </w:r>
            <w:r w:rsidRPr="00143990">
              <w:rPr>
                <w:rFonts w:ascii="Arial" w:hAnsi="Arial" w:cs="Arial"/>
                <w:sz w:val="20"/>
                <w:szCs w:val="20"/>
              </w:rPr>
              <w:t xml:space="preserve"> dňa: 13.1.2017</w:t>
            </w:r>
          </w:p>
        </w:tc>
      </w:tr>
      <w:tr w:rsidR="00BB61DD" w:rsidRPr="002146A9" w14:paraId="2F549630" w14:textId="77777777" w:rsidTr="00DC3912">
        <w:trPr>
          <w:trHeight w:val="265"/>
        </w:trPr>
        <w:tc>
          <w:tcPr>
            <w:tcW w:w="4678" w:type="dxa"/>
            <w:shd w:val="clear" w:color="auto" w:fill="auto"/>
          </w:tcPr>
          <w:p w14:paraId="188096A8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 xml:space="preserve">Kontrola:  </w:t>
            </w:r>
          </w:p>
        </w:tc>
        <w:tc>
          <w:tcPr>
            <w:tcW w:w="6379" w:type="dxa"/>
            <w:shd w:val="clear" w:color="auto" w:fill="auto"/>
          </w:tcPr>
          <w:p w14:paraId="18206F25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>Kontrola dňa:</w:t>
            </w:r>
          </w:p>
        </w:tc>
      </w:tr>
      <w:tr w:rsidR="00BB61DD" w:rsidRPr="002146A9" w14:paraId="71F83127" w14:textId="77777777" w:rsidTr="00DC3912">
        <w:tc>
          <w:tcPr>
            <w:tcW w:w="11057" w:type="dxa"/>
            <w:gridSpan w:val="2"/>
            <w:shd w:val="clear" w:color="auto" w:fill="auto"/>
          </w:tcPr>
          <w:p w14:paraId="5B128EAC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 xml:space="preserve">Za správnosť a dodržiavanie smernice zodpovedá prezídium Slovenskej kanoistiky a bola schválená  na zasadnutí dňa: </w:t>
            </w:r>
            <w:r w:rsidRPr="0014399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xx.</w:t>
            </w:r>
            <w:r w:rsidRPr="00143990">
              <w:rPr>
                <w:rFonts w:ascii="Arial" w:hAnsi="Arial" w:cs="Arial"/>
                <w:bCs/>
                <w:sz w:val="20"/>
                <w:szCs w:val="20"/>
              </w:rPr>
              <w:t>1.2017</w:t>
            </w:r>
          </w:p>
        </w:tc>
      </w:tr>
      <w:tr w:rsidR="00BB61DD" w:rsidRPr="002146A9" w14:paraId="4151651A" w14:textId="77777777" w:rsidTr="00DC3912">
        <w:tc>
          <w:tcPr>
            <w:tcW w:w="4678" w:type="dxa"/>
            <w:shd w:val="clear" w:color="auto" w:fill="auto"/>
          </w:tcPr>
          <w:p w14:paraId="598288BF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>Publikované/dňa:</w:t>
            </w:r>
          </w:p>
        </w:tc>
        <w:tc>
          <w:tcPr>
            <w:tcW w:w="6379" w:type="dxa"/>
            <w:shd w:val="clear" w:color="auto" w:fill="auto"/>
          </w:tcPr>
          <w:p w14:paraId="7FC4F0A8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 xml:space="preserve">http: //xxxxx </w:t>
            </w:r>
            <w:r w:rsidRPr="0014399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; </w:t>
            </w:r>
            <w:r w:rsidRPr="0014399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xx.</w:t>
            </w:r>
            <w:r w:rsidRPr="00143990">
              <w:rPr>
                <w:rFonts w:ascii="Arial" w:hAnsi="Arial" w:cs="Arial"/>
                <w:bCs/>
                <w:sz w:val="20"/>
                <w:szCs w:val="20"/>
              </w:rPr>
              <w:t>1.2017</w:t>
            </w:r>
          </w:p>
        </w:tc>
      </w:tr>
      <w:tr w:rsidR="00BB61DD" w:rsidRPr="002146A9" w14:paraId="305BD310" w14:textId="77777777" w:rsidTr="00DC3912">
        <w:tc>
          <w:tcPr>
            <w:tcW w:w="4678" w:type="dxa"/>
            <w:shd w:val="clear" w:color="auto" w:fill="auto"/>
          </w:tcPr>
          <w:p w14:paraId="6AA06AE3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>Počet strán:</w:t>
            </w:r>
          </w:p>
        </w:tc>
        <w:tc>
          <w:tcPr>
            <w:tcW w:w="6379" w:type="dxa"/>
            <w:shd w:val="clear" w:color="auto" w:fill="auto"/>
          </w:tcPr>
          <w:p w14:paraId="27317B81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BB61DD" w:rsidRPr="002146A9" w14:paraId="6434B352" w14:textId="77777777" w:rsidTr="00DC3912">
        <w:tc>
          <w:tcPr>
            <w:tcW w:w="4678" w:type="dxa"/>
            <w:shd w:val="clear" w:color="auto" w:fill="auto"/>
          </w:tcPr>
          <w:p w14:paraId="4DBCE66D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>Počet príloh:</w:t>
            </w:r>
          </w:p>
        </w:tc>
        <w:tc>
          <w:tcPr>
            <w:tcW w:w="6379" w:type="dxa"/>
            <w:shd w:val="clear" w:color="auto" w:fill="auto"/>
          </w:tcPr>
          <w:p w14:paraId="62E0C6BA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43990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B61DD" w:rsidRPr="002146A9" w14:paraId="54D747EE" w14:textId="77777777" w:rsidTr="00DC3912">
        <w:tc>
          <w:tcPr>
            <w:tcW w:w="11057" w:type="dxa"/>
            <w:gridSpan w:val="2"/>
            <w:shd w:val="clear" w:color="auto" w:fill="auto"/>
          </w:tcPr>
          <w:p w14:paraId="54D04441" w14:textId="77777777" w:rsidR="00BB61DD" w:rsidRPr="00143990" w:rsidRDefault="00BB61DD" w:rsidP="00DC391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43990">
              <w:rPr>
                <w:rFonts w:ascii="Arial" w:hAnsi="Arial" w:cs="Arial"/>
                <w:sz w:val="20"/>
                <w:szCs w:val="20"/>
              </w:rPr>
              <w:t>Riadiť sa ustanoveniami tejto smernice sú povinní všetci zamestnanci, funkcionári  a členovia Slovenskej kanoistiky.</w:t>
            </w:r>
          </w:p>
        </w:tc>
      </w:tr>
    </w:tbl>
    <w:p w14:paraId="7C4FE7AC" w14:textId="77777777" w:rsidR="00BB61DD" w:rsidRDefault="00BB61DD" w:rsidP="006F1411">
      <w:pPr>
        <w:jc w:val="center"/>
        <w:rPr>
          <w:rFonts w:ascii="Arial" w:hAnsi="Arial" w:cs="Arial"/>
          <w:b/>
        </w:rPr>
      </w:pPr>
    </w:p>
    <w:p w14:paraId="4474E6C3" w14:textId="77777777" w:rsidR="006F1411" w:rsidRDefault="006F1411" w:rsidP="006F1411">
      <w:pPr>
        <w:jc w:val="center"/>
        <w:rPr>
          <w:rFonts w:ascii="Arial" w:hAnsi="Arial" w:cs="Arial"/>
          <w:b/>
        </w:rPr>
      </w:pPr>
    </w:p>
    <w:p w14:paraId="53C5AD58" w14:textId="139A35EB" w:rsidR="006F1411" w:rsidRPr="00694F18" w:rsidRDefault="006F1411" w:rsidP="006F1411">
      <w:pPr>
        <w:rPr>
          <w:rFonts w:ascii="Arial" w:hAnsi="Arial" w:cs="Arial"/>
        </w:rPr>
      </w:pPr>
      <w:r w:rsidRPr="006F1411">
        <w:rPr>
          <w:rFonts w:ascii="Arial" w:hAnsi="Arial" w:cs="Arial"/>
        </w:rPr>
        <w:t>Smernica upravuje činnosti pri obehu a kontrolu  účtovných dokladov</w:t>
      </w:r>
      <w:r>
        <w:rPr>
          <w:rFonts w:ascii="Arial" w:hAnsi="Arial" w:cs="Arial"/>
        </w:rPr>
        <w:t xml:space="preserve"> Slovenskej kanoistiky</w:t>
      </w:r>
      <w:r w:rsidRPr="006F1411">
        <w:rPr>
          <w:rFonts w:ascii="Arial" w:hAnsi="Arial" w:cs="Arial"/>
        </w:rPr>
        <w:t xml:space="preserve"> v zmysle zákona č. 431/2002 Z.z. o účtovníctve.</w:t>
      </w:r>
    </w:p>
    <w:p w14:paraId="1B608B50" w14:textId="77777777" w:rsidR="006F1411" w:rsidRPr="00143990" w:rsidRDefault="006F1411" w:rsidP="00143990">
      <w:pPr>
        <w:pStyle w:val="Odsekzoznamu"/>
        <w:numPr>
          <w:ilvl w:val="0"/>
          <w:numId w:val="7"/>
        </w:numPr>
        <w:rPr>
          <w:rFonts w:ascii="Arial" w:hAnsi="Arial" w:cs="Arial"/>
          <w:b/>
        </w:rPr>
      </w:pPr>
      <w:r w:rsidRPr="00143990">
        <w:rPr>
          <w:rFonts w:ascii="Arial" w:hAnsi="Arial" w:cs="Arial"/>
          <w:b/>
        </w:rPr>
        <w:t>Náležitosti účtovného dokladu</w:t>
      </w:r>
    </w:p>
    <w:p w14:paraId="61CD3DB3" w14:textId="77777777" w:rsidR="006F1411" w:rsidRPr="00143990" w:rsidRDefault="006F1411" w:rsidP="00143990">
      <w:pPr>
        <w:pStyle w:val="Odsekzoznamu"/>
        <w:numPr>
          <w:ilvl w:val="1"/>
          <w:numId w:val="7"/>
        </w:numPr>
        <w:rPr>
          <w:rFonts w:ascii="Arial" w:hAnsi="Arial" w:cs="Arial"/>
        </w:rPr>
      </w:pPr>
      <w:r w:rsidRPr="00143990">
        <w:rPr>
          <w:rFonts w:ascii="Arial" w:hAnsi="Arial" w:cs="Arial"/>
        </w:rPr>
        <w:t>Označenie účtovného dokladu</w:t>
      </w:r>
    </w:p>
    <w:p w14:paraId="19C4DA5D" w14:textId="77777777" w:rsidR="006F1411" w:rsidRPr="00143990" w:rsidRDefault="006F1411" w:rsidP="00143990">
      <w:pPr>
        <w:pStyle w:val="Odsekzoznamu"/>
        <w:numPr>
          <w:ilvl w:val="1"/>
          <w:numId w:val="7"/>
        </w:numPr>
        <w:rPr>
          <w:rFonts w:ascii="Arial" w:hAnsi="Arial" w:cs="Arial"/>
        </w:rPr>
      </w:pPr>
      <w:r w:rsidRPr="00143990">
        <w:rPr>
          <w:rFonts w:ascii="Arial" w:hAnsi="Arial" w:cs="Arial"/>
        </w:rPr>
        <w:t>Opis obsahu účtovného prípadu</w:t>
      </w:r>
    </w:p>
    <w:p w14:paraId="2FF9EF90" w14:textId="77777777" w:rsidR="006F1411" w:rsidRPr="00143990" w:rsidRDefault="006F1411" w:rsidP="00143990">
      <w:pPr>
        <w:pStyle w:val="Odsekzoznamu"/>
        <w:numPr>
          <w:ilvl w:val="1"/>
          <w:numId w:val="7"/>
        </w:numPr>
        <w:rPr>
          <w:rFonts w:ascii="Arial" w:hAnsi="Arial" w:cs="Arial"/>
        </w:rPr>
      </w:pPr>
      <w:r w:rsidRPr="00143990">
        <w:rPr>
          <w:rFonts w:ascii="Arial" w:hAnsi="Arial" w:cs="Arial"/>
        </w:rPr>
        <w:t>Označenie účastníkov</w:t>
      </w:r>
    </w:p>
    <w:p w14:paraId="22682F9F" w14:textId="77777777" w:rsidR="006F1411" w:rsidRPr="00143990" w:rsidRDefault="006F1411" w:rsidP="00143990">
      <w:pPr>
        <w:pStyle w:val="Odsekzoznamu"/>
        <w:numPr>
          <w:ilvl w:val="1"/>
          <w:numId w:val="7"/>
        </w:numPr>
        <w:rPr>
          <w:rFonts w:ascii="Arial" w:hAnsi="Arial" w:cs="Arial"/>
        </w:rPr>
      </w:pPr>
      <w:r w:rsidRPr="00143990">
        <w:rPr>
          <w:rFonts w:ascii="Arial" w:hAnsi="Arial" w:cs="Arial"/>
        </w:rPr>
        <w:t>Peňažnú sumu resp. údaj o množstve a cene</w:t>
      </w:r>
    </w:p>
    <w:p w14:paraId="11F7A51B" w14:textId="77777777" w:rsidR="006F1411" w:rsidRPr="00143990" w:rsidRDefault="006F1411" w:rsidP="00143990">
      <w:pPr>
        <w:pStyle w:val="Odsekzoznamu"/>
        <w:numPr>
          <w:ilvl w:val="1"/>
          <w:numId w:val="7"/>
        </w:numPr>
        <w:rPr>
          <w:rFonts w:ascii="Arial" w:hAnsi="Arial" w:cs="Arial"/>
        </w:rPr>
      </w:pPr>
      <w:r w:rsidRPr="00143990">
        <w:rPr>
          <w:rFonts w:ascii="Arial" w:hAnsi="Arial" w:cs="Arial"/>
        </w:rPr>
        <w:t xml:space="preserve">Dátum </w:t>
      </w:r>
      <w:r w:rsidR="005D25F9" w:rsidRPr="00143990">
        <w:rPr>
          <w:rFonts w:ascii="Arial" w:hAnsi="Arial" w:cs="Arial"/>
        </w:rPr>
        <w:t>vyhovovania</w:t>
      </w:r>
      <w:r w:rsidRPr="00143990">
        <w:rPr>
          <w:rFonts w:ascii="Arial" w:hAnsi="Arial" w:cs="Arial"/>
        </w:rPr>
        <w:t xml:space="preserve"> účtovného dokladu</w:t>
      </w:r>
    </w:p>
    <w:p w14:paraId="6485B514" w14:textId="77777777" w:rsidR="006F1411" w:rsidRPr="00143990" w:rsidRDefault="006F1411" w:rsidP="00143990">
      <w:pPr>
        <w:pStyle w:val="Odsekzoznamu"/>
        <w:numPr>
          <w:ilvl w:val="1"/>
          <w:numId w:val="7"/>
        </w:numPr>
        <w:rPr>
          <w:rFonts w:ascii="Arial" w:hAnsi="Arial" w:cs="Arial"/>
        </w:rPr>
      </w:pPr>
      <w:r w:rsidRPr="00143990">
        <w:rPr>
          <w:rFonts w:ascii="Arial" w:hAnsi="Arial" w:cs="Arial"/>
        </w:rPr>
        <w:t>Dátum uskutočnenia účtovného prípadu</w:t>
      </w:r>
    </w:p>
    <w:p w14:paraId="7880A9E9" w14:textId="77777777" w:rsidR="006F1411" w:rsidRPr="00143990" w:rsidRDefault="006F1411" w:rsidP="00143990">
      <w:pPr>
        <w:pStyle w:val="Odsekzoznamu"/>
        <w:numPr>
          <w:ilvl w:val="1"/>
          <w:numId w:val="7"/>
        </w:numPr>
        <w:rPr>
          <w:rFonts w:ascii="Arial" w:hAnsi="Arial" w:cs="Arial"/>
        </w:rPr>
      </w:pPr>
      <w:r w:rsidRPr="00143990">
        <w:rPr>
          <w:rFonts w:ascii="Arial" w:hAnsi="Arial" w:cs="Arial"/>
        </w:rPr>
        <w:t xml:space="preserve">Podpis osoby zodpovednej za vznik účtovného dokladu, osoby zodpovednej za jeho zaúčtovanie </w:t>
      </w:r>
    </w:p>
    <w:p w14:paraId="7B035430" w14:textId="77777777" w:rsidR="006F1411" w:rsidRPr="00143990" w:rsidRDefault="006F1411" w:rsidP="00143990">
      <w:pPr>
        <w:pStyle w:val="Odsekzoznamu"/>
        <w:numPr>
          <w:ilvl w:val="1"/>
          <w:numId w:val="7"/>
        </w:numPr>
        <w:rPr>
          <w:rFonts w:ascii="Arial" w:hAnsi="Arial" w:cs="Arial"/>
        </w:rPr>
      </w:pPr>
      <w:r w:rsidRPr="00143990">
        <w:rPr>
          <w:rFonts w:ascii="Arial" w:hAnsi="Arial" w:cs="Arial"/>
        </w:rPr>
        <w:t>Označenie účtov, na ktorých sa účtovný prípad zaúčtuje</w:t>
      </w:r>
    </w:p>
    <w:p w14:paraId="49C1C214" w14:textId="77777777" w:rsidR="005D25F9" w:rsidRDefault="005D25F9" w:rsidP="00143990">
      <w:pPr>
        <w:pStyle w:val="Odsekzoznamu"/>
        <w:numPr>
          <w:ilvl w:val="1"/>
          <w:numId w:val="7"/>
        </w:numPr>
        <w:rPr>
          <w:rFonts w:ascii="Arial" w:hAnsi="Arial" w:cs="Arial"/>
        </w:rPr>
      </w:pPr>
      <w:r w:rsidRPr="00143990">
        <w:rPr>
          <w:rFonts w:ascii="Arial" w:hAnsi="Arial" w:cs="Arial"/>
        </w:rPr>
        <w:t>Popis účtovného strediska (H – sekcia hladkých vôd, D sekcia divokých vôd)</w:t>
      </w:r>
    </w:p>
    <w:p w14:paraId="7D0DC85B" w14:textId="77777777" w:rsidR="006F1411" w:rsidRPr="00143990" w:rsidRDefault="006F1411" w:rsidP="0014399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F1411">
        <w:rPr>
          <w:rFonts w:ascii="Arial" w:hAnsi="Arial" w:cs="Arial"/>
          <w:b/>
        </w:rPr>
        <w:t>Vymedzenie obehu účtovných dokladov a fáz obehu</w:t>
      </w:r>
      <w:r w:rsidR="00143990">
        <w:rPr>
          <w:rFonts w:ascii="Arial" w:hAnsi="Arial" w:cs="Arial"/>
          <w:b/>
        </w:rPr>
        <w:t xml:space="preserve">. </w:t>
      </w:r>
      <w:r w:rsidRPr="00143990">
        <w:rPr>
          <w:rFonts w:ascii="Arial" w:hAnsi="Arial" w:cs="Arial"/>
        </w:rPr>
        <w:t xml:space="preserve">Obehom účtovných dokladov sa rozumie proces podávania dokladov </w:t>
      </w:r>
      <w:r w:rsidR="00DB1D2C" w:rsidRPr="00143990">
        <w:rPr>
          <w:rFonts w:ascii="Arial" w:hAnsi="Arial" w:cs="Arial"/>
        </w:rPr>
        <w:t xml:space="preserve">od ich vzniku až po likvidáciu. </w:t>
      </w:r>
      <w:r w:rsidRPr="00143990">
        <w:rPr>
          <w:rFonts w:ascii="Arial" w:hAnsi="Arial" w:cs="Arial"/>
        </w:rPr>
        <w:t>Fázy obehu účtovného dokladu:</w:t>
      </w:r>
    </w:p>
    <w:p w14:paraId="14CC535B" w14:textId="77777777" w:rsidR="006F1411" w:rsidRPr="006F1411" w:rsidRDefault="006F1411" w:rsidP="00143990">
      <w:pPr>
        <w:pStyle w:val="Odsekzoznamu"/>
        <w:numPr>
          <w:ilvl w:val="1"/>
          <w:numId w:val="7"/>
        </w:numPr>
        <w:jc w:val="both"/>
        <w:rPr>
          <w:rFonts w:ascii="Arial" w:hAnsi="Arial" w:cs="Arial"/>
          <w:b/>
        </w:rPr>
      </w:pPr>
      <w:r w:rsidRPr="006F1411">
        <w:rPr>
          <w:rFonts w:ascii="Arial" w:hAnsi="Arial" w:cs="Arial"/>
          <w:b/>
        </w:rPr>
        <w:t>Vznik účtovného dokladu:</w:t>
      </w:r>
    </w:p>
    <w:p w14:paraId="7DA68D1E" w14:textId="77777777" w:rsidR="006F1411" w:rsidRPr="00143990" w:rsidRDefault="006F1411" w:rsidP="00143990">
      <w:pPr>
        <w:pStyle w:val="Odsekzoznamu"/>
        <w:numPr>
          <w:ilvl w:val="2"/>
          <w:numId w:val="7"/>
        </w:numPr>
        <w:jc w:val="both"/>
        <w:rPr>
          <w:rFonts w:ascii="Arial" w:hAnsi="Arial" w:cs="Arial"/>
        </w:rPr>
      </w:pPr>
      <w:r w:rsidRPr="00143990">
        <w:rPr>
          <w:rFonts w:ascii="Arial" w:hAnsi="Arial" w:cs="Arial"/>
        </w:rPr>
        <w:t>pri externom účtovnom doklade: prijatie</w:t>
      </w:r>
    </w:p>
    <w:p w14:paraId="7980A78A" w14:textId="77777777" w:rsidR="006F1411" w:rsidRPr="00143990" w:rsidRDefault="006F1411" w:rsidP="00143990">
      <w:pPr>
        <w:pStyle w:val="Odsekzoznamu"/>
        <w:numPr>
          <w:ilvl w:val="2"/>
          <w:numId w:val="7"/>
        </w:numPr>
        <w:jc w:val="both"/>
        <w:rPr>
          <w:rFonts w:ascii="Arial" w:hAnsi="Arial" w:cs="Arial"/>
        </w:rPr>
      </w:pPr>
      <w:r w:rsidRPr="00143990">
        <w:rPr>
          <w:rFonts w:ascii="Arial" w:hAnsi="Arial" w:cs="Arial"/>
        </w:rPr>
        <w:t>pri internom účtovnom doklade: vystavenie</w:t>
      </w:r>
    </w:p>
    <w:p w14:paraId="57A84BD9" w14:textId="77777777" w:rsidR="006F1411" w:rsidRPr="006F1411" w:rsidRDefault="006F1411" w:rsidP="00143990">
      <w:pPr>
        <w:pStyle w:val="Odsekzoznamu"/>
        <w:numPr>
          <w:ilvl w:val="1"/>
          <w:numId w:val="7"/>
        </w:numPr>
        <w:jc w:val="both"/>
        <w:rPr>
          <w:rFonts w:ascii="Arial" w:hAnsi="Arial" w:cs="Arial"/>
        </w:rPr>
      </w:pPr>
      <w:r w:rsidRPr="006F1411">
        <w:rPr>
          <w:rFonts w:ascii="Arial" w:hAnsi="Arial" w:cs="Arial"/>
          <w:b/>
        </w:rPr>
        <w:t xml:space="preserve">Kontrola formálne správnosti: </w:t>
      </w:r>
      <w:r w:rsidRPr="006F1411">
        <w:rPr>
          <w:rFonts w:ascii="Arial" w:hAnsi="Arial" w:cs="Arial"/>
        </w:rPr>
        <w:t>kontrola náležitostí účtovných dokladov podľa bodu 1</w:t>
      </w:r>
    </w:p>
    <w:p w14:paraId="6E72A144" w14:textId="77777777" w:rsidR="006F1411" w:rsidRPr="006F1411" w:rsidRDefault="006F1411" w:rsidP="00143990">
      <w:pPr>
        <w:pStyle w:val="Odsekzoznamu"/>
        <w:numPr>
          <w:ilvl w:val="1"/>
          <w:numId w:val="7"/>
        </w:numPr>
        <w:jc w:val="both"/>
        <w:rPr>
          <w:rFonts w:ascii="Arial" w:hAnsi="Arial" w:cs="Arial"/>
        </w:rPr>
      </w:pPr>
      <w:r w:rsidRPr="006F1411">
        <w:rPr>
          <w:rFonts w:ascii="Arial" w:hAnsi="Arial" w:cs="Arial"/>
          <w:b/>
        </w:rPr>
        <w:t xml:space="preserve">Kontrola vecnej správnosti: </w:t>
      </w:r>
      <w:r w:rsidRPr="006F1411">
        <w:rPr>
          <w:rFonts w:ascii="Arial" w:hAnsi="Arial" w:cs="Arial"/>
        </w:rPr>
        <w:t>preverenie správnosti údajov uvedených v dokladoch, napr. množstvo, cena, rozsah prác, dodržiavanie zmluvných podmienok a pod.</w:t>
      </w:r>
    </w:p>
    <w:p w14:paraId="3EA19AF3" w14:textId="77777777" w:rsidR="006F1411" w:rsidRPr="006F1411" w:rsidRDefault="006F1411" w:rsidP="00143990">
      <w:pPr>
        <w:pStyle w:val="Odsekzoznamu"/>
        <w:numPr>
          <w:ilvl w:val="1"/>
          <w:numId w:val="7"/>
        </w:numPr>
        <w:jc w:val="both"/>
        <w:rPr>
          <w:rFonts w:ascii="Arial" w:hAnsi="Arial" w:cs="Arial"/>
          <w:b/>
        </w:rPr>
      </w:pPr>
      <w:r w:rsidRPr="006F1411">
        <w:rPr>
          <w:rFonts w:ascii="Arial" w:hAnsi="Arial" w:cs="Arial"/>
          <w:b/>
        </w:rPr>
        <w:t>Príprava k zaúčtovaniu zahŕňa:</w:t>
      </w:r>
    </w:p>
    <w:p w14:paraId="58C22FD2" w14:textId="77777777" w:rsidR="006F1411" w:rsidRPr="00143990" w:rsidRDefault="006F1411" w:rsidP="00143990">
      <w:pPr>
        <w:pStyle w:val="Odsekzoznamu"/>
        <w:numPr>
          <w:ilvl w:val="2"/>
          <w:numId w:val="7"/>
        </w:numPr>
        <w:jc w:val="both"/>
        <w:rPr>
          <w:rFonts w:ascii="Arial" w:hAnsi="Arial" w:cs="Arial"/>
          <w:b/>
        </w:rPr>
      </w:pPr>
      <w:r w:rsidRPr="00143990">
        <w:rPr>
          <w:rFonts w:ascii="Arial" w:hAnsi="Arial" w:cs="Arial"/>
          <w:b/>
        </w:rPr>
        <w:t>usporiadanie účtovných dokladov tak, aby bolo zrejmé, že sú kompletné a ktorého účtovného obdobia sa týkajú</w:t>
      </w:r>
    </w:p>
    <w:p w14:paraId="2CB1796F" w14:textId="77777777" w:rsidR="006F1411" w:rsidRPr="00143990" w:rsidRDefault="006F1411" w:rsidP="00143990">
      <w:pPr>
        <w:pStyle w:val="Odsekzoznamu"/>
        <w:numPr>
          <w:ilvl w:val="2"/>
          <w:numId w:val="7"/>
        </w:numPr>
        <w:jc w:val="both"/>
        <w:rPr>
          <w:rFonts w:ascii="Arial" w:hAnsi="Arial" w:cs="Arial"/>
          <w:b/>
        </w:rPr>
      </w:pPr>
      <w:r w:rsidRPr="00143990">
        <w:rPr>
          <w:rFonts w:ascii="Arial" w:hAnsi="Arial" w:cs="Arial"/>
          <w:b/>
        </w:rPr>
        <w:t>priradenie interného čísla dokladom</w:t>
      </w:r>
    </w:p>
    <w:p w14:paraId="2F8C719D" w14:textId="77777777" w:rsidR="006F1411" w:rsidRDefault="006F1411" w:rsidP="00143990">
      <w:pPr>
        <w:pStyle w:val="Odsekzoznamu"/>
        <w:numPr>
          <w:ilvl w:val="1"/>
          <w:numId w:val="7"/>
        </w:numPr>
        <w:jc w:val="both"/>
        <w:rPr>
          <w:rFonts w:ascii="Arial" w:hAnsi="Arial" w:cs="Arial"/>
        </w:rPr>
      </w:pPr>
      <w:r w:rsidRPr="006F1411">
        <w:rPr>
          <w:rFonts w:ascii="Arial" w:hAnsi="Arial" w:cs="Arial"/>
          <w:b/>
        </w:rPr>
        <w:t xml:space="preserve">Zaúčtovanie dokladu – </w:t>
      </w:r>
      <w:r w:rsidRPr="006F1411">
        <w:rPr>
          <w:rFonts w:ascii="Arial" w:hAnsi="Arial" w:cs="Arial"/>
        </w:rPr>
        <w:t>znamená predkontovanie účtovnej operácie uvedenej na doklade. Účtovník, ktorý účtovnému dokladu priradí predkontačný predpis, tento označí svojim podpisom, tak aby bolo zrejmé kto doklad zaúčtoval.</w:t>
      </w:r>
    </w:p>
    <w:p w14:paraId="39EF6928" w14:textId="77777777" w:rsidR="00045613" w:rsidRPr="00045613" w:rsidRDefault="006F1411" w:rsidP="00143990">
      <w:pPr>
        <w:pStyle w:val="Odsekzoznamu"/>
        <w:numPr>
          <w:ilvl w:val="1"/>
          <w:numId w:val="7"/>
        </w:numPr>
        <w:jc w:val="both"/>
        <w:rPr>
          <w:rFonts w:ascii="Arial" w:hAnsi="Arial" w:cs="Arial"/>
        </w:rPr>
      </w:pPr>
      <w:r w:rsidRPr="006F1411">
        <w:rPr>
          <w:rFonts w:ascii="Arial" w:hAnsi="Arial" w:cs="Arial"/>
          <w:b/>
        </w:rPr>
        <w:t>Archiváci</w:t>
      </w:r>
      <w:r w:rsidR="00045613">
        <w:rPr>
          <w:rFonts w:ascii="Arial" w:hAnsi="Arial" w:cs="Arial"/>
          <w:b/>
        </w:rPr>
        <w:t>a</w:t>
      </w:r>
    </w:p>
    <w:p w14:paraId="30A1E432" w14:textId="77777777" w:rsidR="006F1411" w:rsidRDefault="00045613" w:rsidP="00045613">
      <w:pPr>
        <w:pStyle w:val="Odsekzoznamu"/>
        <w:numPr>
          <w:ilvl w:val="2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6F1411" w:rsidRPr="006F1411">
        <w:rPr>
          <w:rFonts w:ascii="Arial" w:hAnsi="Arial" w:cs="Arial"/>
        </w:rPr>
        <w:t>anón, ktorý obsahuje účtovné doklady sa označí archivačným štítkom</w:t>
      </w:r>
      <w:r>
        <w:rPr>
          <w:rFonts w:ascii="Arial" w:hAnsi="Arial" w:cs="Arial"/>
        </w:rPr>
        <w:t xml:space="preserve">, </w:t>
      </w:r>
    </w:p>
    <w:p w14:paraId="4589A433" w14:textId="62859E7B" w:rsidR="006F1411" w:rsidRPr="006F1411" w:rsidRDefault="006F1411" w:rsidP="00143990">
      <w:pPr>
        <w:pStyle w:val="Odsekzoznamu"/>
        <w:numPr>
          <w:ilvl w:val="1"/>
          <w:numId w:val="7"/>
        </w:numPr>
        <w:jc w:val="both"/>
        <w:rPr>
          <w:rFonts w:ascii="Arial" w:hAnsi="Arial" w:cs="Arial"/>
        </w:rPr>
      </w:pPr>
      <w:r w:rsidRPr="006F1411">
        <w:rPr>
          <w:rFonts w:ascii="Arial" w:hAnsi="Arial" w:cs="Arial"/>
          <w:b/>
        </w:rPr>
        <w:t xml:space="preserve">Likvidácia – </w:t>
      </w:r>
      <w:r w:rsidRPr="006F1411">
        <w:rPr>
          <w:rFonts w:ascii="Arial" w:hAnsi="Arial" w:cs="Arial"/>
        </w:rPr>
        <w:t xml:space="preserve">znamená fyzické zničenie účtovných dokladov po skončení doby archivácie alebo v čase kedy sa o tom rozhodne v zmysle registratúrneho poriadku </w:t>
      </w:r>
      <w:r w:rsidR="00694F18">
        <w:rPr>
          <w:rFonts w:ascii="Arial" w:hAnsi="Arial" w:cs="Arial"/>
        </w:rPr>
        <w:t>Slovenská kanoistika</w:t>
      </w:r>
      <w:r w:rsidRPr="006F1411">
        <w:rPr>
          <w:rFonts w:ascii="Arial" w:hAnsi="Arial" w:cs="Arial"/>
        </w:rPr>
        <w:t>.</w:t>
      </w:r>
    </w:p>
    <w:p w14:paraId="4C6D2253" w14:textId="77777777" w:rsidR="006F1411" w:rsidRPr="006F1411" w:rsidRDefault="006F1411" w:rsidP="0014399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F1411">
        <w:rPr>
          <w:rFonts w:ascii="Arial" w:hAnsi="Arial" w:cs="Arial"/>
          <w:b/>
        </w:rPr>
        <w:t>Obeh odberateľských faktúr</w:t>
      </w:r>
    </w:p>
    <w:p w14:paraId="11CAB647" w14:textId="13EDD155" w:rsidR="006F1411" w:rsidRPr="006F1411" w:rsidRDefault="006F1411" w:rsidP="00DB1D2C">
      <w:pPr>
        <w:jc w:val="both"/>
        <w:rPr>
          <w:rFonts w:ascii="Arial" w:hAnsi="Arial" w:cs="Arial"/>
        </w:rPr>
      </w:pPr>
      <w:r w:rsidRPr="006F1411">
        <w:rPr>
          <w:rFonts w:ascii="Arial" w:hAnsi="Arial" w:cs="Arial"/>
        </w:rPr>
        <w:t xml:space="preserve">Vznik – faktúru vystavuje </w:t>
      </w:r>
      <w:r w:rsidRPr="004210F0">
        <w:rPr>
          <w:rFonts w:ascii="Arial" w:hAnsi="Arial" w:cs="Arial"/>
        </w:rPr>
        <w:t xml:space="preserve">externá účtovná firma </w:t>
      </w:r>
      <w:r w:rsidR="0050276D">
        <w:rPr>
          <w:rFonts w:ascii="Arial" w:hAnsi="Arial" w:cs="Arial"/>
        </w:rPr>
        <w:t xml:space="preserve"> alebo poverený pracovník </w:t>
      </w:r>
      <w:r w:rsidR="00136F15">
        <w:rPr>
          <w:rFonts w:ascii="Arial" w:hAnsi="Arial" w:cs="Arial"/>
        </w:rPr>
        <w:t xml:space="preserve">sekretariátu </w:t>
      </w:r>
      <w:r w:rsidR="00694F18">
        <w:rPr>
          <w:rFonts w:ascii="Arial" w:hAnsi="Arial" w:cs="Arial"/>
        </w:rPr>
        <w:t>Slovenskej kanoistiky</w:t>
      </w:r>
      <w:r w:rsidRPr="006F1411">
        <w:rPr>
          <w:rFonts w:ascii="Arial" w:hAnsi="Arial" w:cs="Arial"/>
        </w:rPr>
        <w:t>. F</w:t>
      </w:r>
      <w:r w:rsidR="00DB1D2C">
        <w:rPr>
          <w:rFonts w:ascii="Arial" w:hAnsi="Arial" w:cs="Arial"/>
        </w:rPr>
        <w:t xml:space="preserve">aktúru označí poradovým číslom. </w:t>
      </w:r>
      <w:r w:rsidRPr="006F1411">
        <w:rPr>
          <w:rFonts w:ascii="Arial" w:hAnsi="Arial" w:cs="Arial"/>
        </w:rPr>
        <w:t>Poverený zodpovedný pracovník zodpo</w:t>
      </w:r>
      <w:r w:rsidR="00DB1D2C">
        <w:rPr>
          <w:rFonts w:ascii="Arial" w:hAnsi="Arial" w:cs="Arial"/>
        </w:rPr>
        <w:t>vedá za vecnú a </w:t>
      </w:r>
      <w:r w:rsidR="00143990">
        <w:rPr>
          <w:rFonts w:ascii="Arial" w:hAnsi="Arial" w:cs="Arial"/>
        </w:rPr>
        <w:t>číselnú</w:t>
      </w:r>
      <w:r w:rsidR="00DB1D2C">
        <w:rPr>
          <w:rFonts w:ascii="Arial" w:hAnsi="Arial" w:cs="Arial"/>
        </w:rPr>
        <w:t xml:space="preserve"> správno</w:t>
      </w:r>
      <w:r w:rsidRPr="006F1411">
        <w:rPr>
          <w:rFonts w:ascii="Arial" w:hAnsi="Arial" w:cs="Arial"/>
        </w:rPr>
        <w:t xml:space="preserve">sť a úplnosť údajov. Zabezpečí odoslanie originálu faktúry odberateľovi a kópiu s príslušnými prílohami (objednávka, zmluva a pod.) postúpi </w:t>
      </w:r>
      <w:r w:rsidRPr="006F1411">
        <w:rPr>
          <w:rFonts w:ascii="Arial" w:hAnsi="Arial" w:cs="Arial"/>
        </w:rPr>
        <w:lastRenderedPageBreak/>
        <w:t xml:space="preserve">externému účtovníkovi, ktorý vykoná predkontáciu. Zodpovedá za správnu predkontáciu faktúry a zároveň sleduje splatnosť </w:t>
      </w:r>
      <w:r w:rsidR="00DB1D2C" w:rsidRPr="006F1411">
        <w:rPr>
          <w:rFonts w:ascii="Arial" w:hAnsi="Arial" w:cs="Arial"/>
        </w:rPr>
        <w:t>pohľadávok</w:t>
      </w:r>
      <w:r w:rsidRPr="006F1411">
        <w:rPr>
          <w:rFonts w:ascii="Arial" w:hAnsi="Arial" w:cs="Arial"/>
        </w:rPr>
        <w:t xml:space="preserve"> a ich úhrady. </w:t>
      </w:r>
      <w:r w:rsidRPr="00EB4DDA">
        <w:rPr>
          <w:rFonts w:ascii="Arial" w:hAnsi="Arial" w:cs="Arial"/>
        </w:rPr>
        <w:t xml:space="preserve">Zoznam neuhradených faktúr predkladá </w:t>
      </w:r>
      <w:r w:rsidR="00EB4DDA">
        <w:rPr>
          <w:rFonts w:ascii="Arial" w:hAnsi="Arial" w:cs="Arial"/>
        </w:rPr>
        <w:t>raz za 14 dní</w:t>
      </w:r>
      <w:r w:rsidR="00EB4DDA" w:rsidRPr="00EB4DDA">
        <w:rPr>
          <w:rFonts w:ascii="Arial" w:hAnsi="Arial" w:cs="Arial"/>
        </w:rPr>
        <w:t xml:space="preserve"> </w:t>
      </w:r>
      <w:r w:rsidRPr="00EB4DDA">
        <w:rPr>
          <w:rFonts w:ascii="Arial" w:hAnsi="Arial" w:cs="Arial"/>
        </w:rPr>
        <w:t>zodpovednému pracovníkov</w:t>
      </w:r>
      <w:r w:rsidR="00694F18" w:rsidRPr="00EB4DDA">
        <w:rPr>
          <w:rFonts w:ascii="Arial" w:hAnsi="Arial" w:cs="Arial"/>
        </w:rPr>
        <w:t>i</w:t>
      </w:r>
      <w:r w:rsidRPr="00EB4DDA">
        <w:rPr>
          <w:rFonts w:ascii="Arial" w:hAnsi="Arial" w:cs="Arial"/>
        </w:rPr>
        <w:t xml:space="preserve"> </w:t>
      </w:r>
      <w:r w:rsidR="00694F18" w:rsidRPr="00EB4DDA">
        <w:rPr>
          <w:rFonts w:ascii="Arial" w:hAnsi="Arial" w:cs="Arial"/>
        </w:rPr>
        <w:t>Slovenskej kanoistiky</w:t>
      </w:r>
      <w:r w:rsidRPr="00EB4DDA">
        <w:rPr>
          <w:rFonts w:ascii="Arial" w:hAnsi="Arial" w:cs="Arial"/>
        </w:rPr>
        <w:t xml:space="preserve"> a ten následne prezidentovi </w:t>
      </w:r>
      <w:r w:rsidR="000E3652" w:rsidRPr="00EB4DDA">
        <w:rPr>
          <w:rFonts w:ascii="Arial" w:hAnsi="Arial" w:cs="Arial"/>
        </w:rPr>
        <w:t>Slovenskej kanoistiky</w:t>
      </w:r>
      <w:r w:rsidRPr="00EB4DDA">
        <w:rPr>
          <w:rFonts w:ascii="Arial" w:hAnsi="Arial" w:cs="Arial"/>
        </w:rPr>
        <w:t>.</w:t>
      </w:r>
    </w:p>
    <w:p w14:paraId="28BF7964" w14:textId="77777777" w:rsidR="006F1411" w:rsidRPr="006F1411" w:rsidRDefault="006F1411" w:rsidP="006F1411">
      <w:pPr>
        <w:rPr>
          <w:rFonts w:ascii="Arial" w:hAnsi="Arial" w:cs="Arial"/>
        </w:rPr>
      </w:pPr>
    </w:p>
    <w:p w14:paraId="54A0C2A0" w14:textId="77777777" w:rsidR="006F1411" w:rsidRDefault="006F1411" w:rsidP="0014399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F1411">
        <w:rPr>
          <w:rFonts w:ascii="Arial" w:hAnsi="Arial" w:cs="Arial"/>
          <w:b/>
        </w:rPr>
        <w:t>Obeh dodávateľských faktúr</w:t>
      </w:r>
    </w:p>
    <w:p w14:paraId="36575109" w14:textId="17053DE0" w:rsidR="006F1411" w:rsidRPr="006F1411" w:rsidRDefault="006F1411" w:rsidP="00F91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6F1411">
        <w:rPr>
          <w:rFonts w:ascii="Arial" w:hAnsi="Arial" w:cs="Arial"/>
        </w:rPr>
        <w:t xml:space="preserve">znik – </w:t>
      </w:r>
      <w:r w:rsidR="008D267B">
        <w:rPr>
          <w:rFonts w:ascii="Arial" w:hAnsi="Arial" w:cs="Arial"/>
        </w:rPr>
        <w:t>dodávateľskú</w:t>
      </w:r>
      <w:r w:rsidRPr="006F1411">
        <w:rPr>
          <w:rFonts w:ascii="Arial" w:hAnsi="Arial" w:cs="Arial"/>
        </w:rPr>
        <w:t xml:space="preserve"> faktúru zaeviduje </w:t>
      </w:r>
      <w:r w:rsidR="007C3B0C">
        <w:rPr>
          <w:rFonts w:ascii="Arial" w:hAnsi="Arial" w:cs="Arial"/>
        </w:rPr>
        <w:t xml:space="preserve">povererný </w:t>
      </w:r>
      <w:r w:rsidRPr="006F1411">
        <w:rPr>
          <w:rFonts w:ascii="Arial" w:hAnsi="Arial" w:cs="Arial"/>
        </w:rPr>
        <w:t xml:space="preserve">pracovník sekretariátu </w:t>
      </w:r>
      <w:r w:rsidR="007705CB">
        <w:rPr>
          <w:rFonts w:ascii="Arial" w:hAnsi="Arial" w:cs="Arial"/>
        </w:rPr>
        <w:t>Slovenskej kanoistiky</w:t>
      </w:r>
      <w:r w:rsidRPr="006F1411">
        <w:rPr>
          <w:rFonts w:ascii="Arial" w:hAnsi="Arial" w:cs="Arial"/>
        </w:rPr>
        <w:t xml:space="preserve"> v </w:t>
      </w:r>
      <w:r w:rsidR="00573DDB">
        <w:rPr>
          <w:rFonts w:ascii="Arial" w:hAnsi="Arial" w:cs="Arial"/>
        </w:rPr>
        <w:t>prijatej</w:t>
      </w:r>
      <w:r w:rsidRPr="006F1411">
        <w:rPr>
          <w:rFonts w:ascii="Arial" w:hAnsi="Arial" w:cs="Arial"/>
        </w:rPr>
        <w:t xml:space="preserve"> pošte</w:t>
      </w:r>
      <w:r w:rsidR="00BA3BE2">
        <w:rPr>
          <w:rFonts w:ascii="Arial" w:hAnsi="Arial" w:cs="Arial"/>
        </w:rPr>
        <w:t>.</w:t>
      </w:r>
      <w:r w:rsidRPr="006F1411">
        <w:rPr>
          <w:rFonts w:ascii="Arial" w:hAnsi="Arial" w:cs="Arial"/>
        </w:rPr>
        <w:t xml:space="preserve"> </w:t>
      </w:r>
      <w:r w:rsidR="00BA3BE2">
        <w:rPr>
          <w:rFonts w:ascii="Arial" w:hAnsi="Arial" w:cs="Arial"/>
        </w:rPr>
        <w:t>D</w:t>
      </w:r>
      <w:r w:rsidR="00923080">
        <w:rPr>
          <w:rFonts w:ascii="Arial" w:hAnsi="Arial" w:cs="Arial"/>
        </w:rPr>
        <w:t>odávateľsk</w:t>
      </w:r>
      <w:r w:rsidR="00BA3BE2">
        <w:rPr>
          <w:rFonts w:ascii="Arial" w:hAnsi="Arial" w:cs="Arial"/>
        </w:rPr>
        <w:t>á</w:t>
      </w:r>
      <w:r w:rsidRPr="006F1411">
        <w:rPr>
          <w:rFonts w:ascii="Arial" w:hAnsi="Arial" w:cs="Arial"/>
        </w:rPr>
        <w:t xml:space="preserve"> faktúr</w:t>
      </w:r>
      <w:r w:rsidR="00BA3BE2">
        <w:rPr>
          <w:rFonts w:ascii="Arial" w:hAnsi="Arial" w:cs="Arial"/>
        </w:rPr>
        <w:t>a</w:t>
      </w:r>
      <w:r w:rsidRPr="006F1411">
        <w:rPr>
          <w:rFonts w:ascii="Arial" w:hAnsi="Arial" w:cs="Arial"/>
        </w:rPr>
        <w:t xml:space="preserve"> </w:t>
      </w:r>
      <w:r w:rsidR="00BA3BE2">
        <w:rPr>
          <w:rFonts w:ascii="Arial" w:hAnsi="Arial" w:cs="Arial"/>
        </w:rPr>
        <w:t xml:space="preserve">sa </w:t>
      </w:r>
      <w:r w:rsidRPr="006F1411">
        <w:rPr>
          <w:rFonts w:ascii="Arial" w:hAnsi="Arial" w:cs="Arial"/>
        </w:rPr>
        <w:t xml:space="preserve">na kontrolu formálnej a obsahovej stránky </w:t>
      </w:r>
      <w:r w:rsidR="00BA3BE2">
        <w:rPr>
          <w:rFonts w:ascii="Arial" w:hAnsi="Arial" w:cs="Arial"/>
        </w:rPr>
        <w:t xml:space="preserve">predloží </w:t>
      </w:r>
      <w:r w:rsidRPr="006F1411">
        <w:rPr>
          <w:rFonts w:ascii="Arial" w:hAnsi="Arial" w:cs="Arial"/>
        </w:rPr>
        <w:t>zodpoved</w:t>
      </w:r>
      <w:r w:rsidR="00F917B3">
        <w:rPr>
          <w:rFonts w:ascii="Arial" w:hAnsi="Arial" w:cs="Arial"/>
        </w:rPr>
        <w:t xml:space="preserve">nému </w:t>
      </w:r>
      <w:r w:rsidRPr="006F1411">
        <w:rPr>
          <w:rFonts w:ascii="Arial" w:hAnsi="Arial" w:cs="Arial"/>
        </w:rPr>
        <w:t xml:space="preserve">pracovníkovi </w:t>
      </w:r>
      <w:r w:rsidR="00EC5063">
        <w:rPr>
          <w:rFonts w:ascii="Arial" w:hAnsi="Arial" w:cs="Arial"/>
        </w:rPr>
        <w:t>Slovenskej kanoistiky</w:t>
      </w:r>
      <w:r w:rsidRPr="006F1411">
        <w:rPr>
          <w:rFonts w:ascii="Arial" w:hAnsi="Arial" w:cs="Arial"/>
        </w:rPr>
        <w:t xml:space="preserve">, ktorý faktúru zaeviduje v knihe </w:t>
      </w:r>
      <w:r w:rsidR="005636C8">
        <w:rPr>
          <w:rFonts w:ascii="Arial" w:hAnsi="Arial" w:cs="Arial"/>
        </w:rPr>
        <w:t>prijatých</w:t>
      </w:r>
      <w:r w:rsidRPr="006F1411">
        <w:rPr>
          <w:rFonts w:ascii="Arial" w:hAnsi="Arial" w:cs="Arial"/>
        </w:rPr>
        <w:t xml:space="preserve"> faktúr, označí poradovým číslom a dátumom príchodu.</w:t>
      </w:r>
      <w:r w:rsidR="00F917B3">
        <w:rPr>
          <w:rFonts w:ascii="Arial" w:hAnsi="Arial" w:cs="Arial"/>
        </w:rPr>
        <w:t xml:space="preserve"> </w:t>
      </w:r>
      <w:r w:rsidRPr="006F1411">
        <w:rPr>
          <w:rFonts w:ascii="Arial" w:hAnsi="Arial" w:cs="Arial"/>
        </w:rPr>
        <w:t xml:space="preserve">Poverený pracovník vykoná vecnú a formálnu kontrolu správnosti, zodpovedá za správnosť a úplnosť údajov. Takto spracovanú faktúru zaúčtuje. </w:t>
      </w:r>
      <w:r w:rsidRPr="000725A1">
        <w:rPr>
          <w:rFonts w:ascii="Arial" w:hAnsi="Arial" w:cs="Arial"/>
        </w:rPr>
        <w:t xml:space="preserve">Sleduje splatnosť </w:t>
      </w:r>
      <w:r w:rsidR="00F917B3" w:rsidRPr="000725A1">
        <w:rPr>
          <w:rFonts w:ascii="Arial" w:hAnsi="Arial" w:cs="Arial"/>
        </w:rPr>
        <w:t>záväzkov</w:t>
      </w:r>
      <w:r w:rsidRPr="000725A1">
        <w:rPr>
          <w:rFonts w:ascii="Arial" w:hAnsi="Arial" w:cs="Arial"/>
        </w:rPr>
        <w:t xml:space="preserve"> a ich úhrady.</w:t>
      </w:r>
    </w:p>
    <w:p w14:paraId="4ECCA919" w14:textId="77777777" w:rsidR="006F1411" w:rsidRDefault="006F1411" w:rsidP="006F1411">
      <w:pPr>
        <w:rPr>
          <w:rFonts w:ascii="Arial" w:hAnsi="Arial" w:cs="Arial"/>
        </w:rPr>
      </w:pPr>
    </w:p>
    <w:p w14:paraId="1C801454" w14:textId="77777777" w:rsidR="006F1411" w:rsidRPr="006F1411" w:rsidRDefault="006F1411" w:rsidP="0014399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F1411">
        <w:rPr>
          <w:rFonts w:ascii="Arial" w:hAnsi="Arial" w:cs="Arial"/>
          <w:b/>
        </w:rPr>
        <w:t>Obeh výpisov z bankových účtov</w:t>
      </w:r>
    </w:p>
    <w:p w14:paraId="789891BC" w14:textId="4F9AB750" w:rsidR="006F1411" w:rsidRPr="006F1411" w:rsidRDefault="00F12FD3" w:rsidP="006F1411">
      <w:pPr>
        <w:rPr>
          <w:rFonts w:ascii="Arial" w:hAnsi="Arial" w:cs="Arial"/>
        </w:rPr>
      </w:pPr>
      <w:r w:rsidRPr="00FA3CF0">
        <w:rPr>
          <w:rFonts w:ascii="Arial" w:hAnsi="Arial" w:cs="Arial"/>
        </w:rPr>
        <w:t>Slovenská kanoistika</w:t>
      </w:r>
      <w:r w:rsidR="006F1411" w:rsidRPr="00FA3CF0">
        <w:rPr>
          <w:rFonts w:ascii="Arial" w:hAnsi="Arial" w:cs="Arial"/>
        </w:rPr>
        <w:t xml:space="preserve"> vedie účty v Slovenskej Sporiteľni, a.s. Bratislava</w:t>
      </w:r>
      <w:r w:rsidR="006F1411" w:rsidRPr="006F1411">
        <w:rPr>
          <w:rFonts w:ascii="Arial" w:hAnsi="Arial" w:cs="Arial"/>
        </w:rPr>
        <w:t xml:space="preserve"> a prostredníctvom nej uskutočňuje svoje platby. Výpisy z účtov sú </w:t>
      </w:r>
      <w:r w:rsidR="006F1411">
        <w:rPr>
          <w:rFonts w:ascii="Arial" w:hAnsi="Arial" w:cs="Arial"/>
        </w:rPr>
        <w:t>elektronické</w:t>
      </w:r>
      <w:r w:rsidR="006F1411" w:rsidRPr="006F1411">
        <w:rPr>
          <w:rFonts w:ascii="Arial" w:hAnsi="Arial" w:cs="Arial"/>
        </w:rPr>
        <w:t>.</w:t>
      </w:r>
    </w:p>
    <w:p w14:paraId="101BD47B" w14:textId="77777777" w:rsidR="006F1411" w:rsidRPr="006F1411" w:rsidRDefault="006F1411" w:rsidP="006F1411">
      <w:pPr>
        <w:rPr>
          <w:rFonts w:ascii="Arial" w:hAnsi="Arial" w:cs="Arial"/>
        </w:rPr>
      </w:pPr>
      <w:r w:rsidRPr="006F1411">
        <w:rPr>
          <w:rFonts w:ascii="Arial" w:hAnsi="Arial" w:cs="Arial"/>
        </w:rPr>
        <w:t>Príprava k zaúčtovaniu spočíva v usporiadaní bankových výpisov podľa poradového čísla. Externý účtovník zodpovedá za správnu predkontáciu účtovných prípadov, ktoré uvedie na výpise.</w:t>
      </w:r>
    </w:p>
    <w:p w14:paraId="16B33DD7" w14:textId="77777777" w:rsidR="00143990" w:rsidRPr="006F1411" w:rsidRDefault="00143990" w:rsidP="006F1411">
      <w:pPr>
        <w:rPr>
          <w:rFonts w:ascii="Arial" w:hAnsi="Arial" w:cs="Arial"/>
        </w:rPr>
      </w:pPr>
    </w:p>
    <w:p w14:paraId="75581BB2" w14:textId="77777777" w:rsidR="006F1411" w:rsidRPr="006F1411" w:rsidRDefault="006F1411" w:rsidP="0014399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F1411">
        <w:rPr>
          <w:rFonts w:ascii="Arial" w:hAnsi="Arial" w:cs="Arial"/>
          <w:b/>
        </w:rPr>
        <w:t>Obeh pokladničných dokladov</w:t>
      </w:r>
    </w:p>
    <w:p w14:paraId="502B7D84" w14:textId="77777777" w:rsidR="006F1411" w:rsidRPr="006F1411" w:rsidRDefault="006F1411" w:rsidP="00DB1D2C">
      <w:pPr>
        <w:jc w:val="both"/>
        <w:rPr>
          <w:rFonts w:ascii="Arial" w:hAnsi="Arial" w:cs="Arial"/>
        </w:rPr>
      </w:pPr>
      <w:r w:rsidRPr="006F1411">
        <w:rPr>
          <w:rFonts w:ascii="Arial" w:hAnsi="Arial" w:cs="Arial"/>
        </w:rPr>
        <w:t>Vznik – pokladník zhromažďuje doklady na preplatenie od zamestnancov. K jednotlivým operáciám vyhotoví pokladničný doklad, ktorý potvrdí svojim podpisom, prípadne podpisom štatutárneho zástupcu. Pokladničným dokladom sa rozumie príjmový a výdavkový pokladničný doklad.</w:t>
      </w:r>
      <w:r w:rsidR="00223FA0">
        <w:rPr>
          <w:rFonts w:ascii="Arial" w:hAnsi="Arial" w:cs="Arial"/>
        </w:rPr>
        <w:t xml:space="preserve"> </w:t>
      </w:r>
      <w:r w:rsidRPr="006F1411">
        <w:rPr>
          <w:rFonts w:ascii="Arial" w:hAnsi="Arial" w:cs="Arial"/>
        </w:rPr>
        <w:t>Pokladník vykoná pri prevzatí dokladu od zamestnanca kontrolu vecnej a formálnej správnosti, a to či doklad obsahuje všetky náležitosti účtovného dokladu. Pokladník postúpi doklady na zaúčtovanie externému účtovníkovi. Príprava spočíva v usporiadaní pokladničných dokladov, priradení interného čísla a správnej predkontácie. Po zaúčtovaní podpíše účtovný doklad tak, aby bolo zrejmé, kto doklad zaúčtoval.</w:t>
      </w:r>
    </w:p>
    <w:p w14:paraId="2F7B028D" w14:textId="77777777" w:rsidR="006F1411" w:rsidRPr="006F1411" w:rsidRDefault="006F1411" w:rsidP="006F1411">
      <w:pPr>
        <w:rPr>
          <w:rFonts w:ascii="Arial" w:hAnsi="Arial" w:cs="Arial"/>
        </w:rPr>
      </w:pPr>
    </w:p>
    <w:p w14:paraId="1D1DADA5" w14:textId="77777777" w:rsidR="006F1411" w:rsidRPr="006F1411" w:rsidRDefault="006F1411" w:rsidP="00143990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F1411">
        <w:rPr>
          <w:rFonts w:ascii="Arial" w:hAnsi="Arial" w:cs="Arial"/>
          <w:b/>
        </w:rPr>
        <w:t>Obeh interných dokladov</w:t>
      </w:r>
    </w:p>
    <w:p w14:paraId="169B654A" w14:textId="52E77AAF" w:rsidR="006F1411" w:rsidRPr="006F1411" w:rsidRDefault="006F1411" w:rsidP="00DB1D2C">
      <w:pPr>
        <w:jc w:val="both"/>
        <w:rPr>
          <w:rFonts w:ascii="Arial" w:hAnsi="Arial" w:cs="Arial"/>
        </w:rPr>
      </w:pPr>
      <w:r w:rsidRPr="006F1411">
        <w:rPr>
          <w:rFonts w:ascii="Arial" w:hAnsi="Arial" w:cs="Arial"/>
        </w:rPr>
        <w:t xml:space="preserve">Vznik – interný doklad o účtovných operáciách, ktoré vznikajú v rámci </w:t>
      </w:r>
      <w:r w:rsidR="002B7949">
        <w:rPr>
          <w:rFonts w:ascii="Arial" w:hAnsi="Arial" w:cs="Arial"/>
        </w:rPr>
        <w:t>Slovenskej kanoistiky</w:t>
      </w:r>
      <w:r w:rsidR="00223FA0">
        <w:rPr>
          <w:rFonts w:ascii="Arial" w:hAnsi="Arial" w:cs="Arial"/>
        </w:rPr>
        <w:t xml:space="preserve"> vyhotovuje externý účtovník. </w:t>
      </w:r>
      <w:r w:rsidRPr="006F1411">
        <w:rPr>
          <w:rFonts w:ascii="Arial" w:hAnsi="Arial" w:cs="Arial"/>
        </w:rPr>
        <w:t xml:space="preserve">Za interný doklad sa pre potreby tejto smernice považuje najmä zúčtovacia a výplatná listina, protokol o zaradení (vyradení) investičného majetku, odpisový plán majetku, vyúčtovania cestovných náhrad a iné podklady dokladujúce vznik </w:t>
      </w:r>
      <w:r w:rsidR="00223FA0" w:rsidRPr="006F1411">
        <w:rPr>
          <w:rFonts w:ascii="Arial" w:hAnsi="Arial" w:cs="Arial"/>
        </w:rPr>
        <w:t>ďalších</w:t>
      </w:r>
      <w:r w:rsidRPr="006F1411">
        <w:rPr>
          <w:rFonts w:ascii="Arial" w:hAnsi="Arial" w:cs="Arial"/>
        </w:rPr>
        <w:t xml:space="preserve"> účtovných operácií. </w:t>
      </w:r>
      <w:r w:rsidRPr="002848BB">
        <w:rPr>
          <w:rFonts w:ascii="Arial" w:hAnsi="Arial" w:cs="Arial"/>
        </w:rPr>
        <w:t>Kontrolu vecnej a formálnej správnosti vykonáva externý</w:t>
      </w:r>
      <w:r w:rsidRPr="006F1411">
        <w:rPr>
          <w:rFonts w:ascii="Arial" w:hAnsi="Arial" w:cs="Arial"/>
        </w:rPr>
        <w:t xml:space="preserve"> účtovník, kontroluje najmä, či je interný doklad v zhode s internou smernicou, na základe ktorej sa vystavuje. V prípade zistených rozdielov upovedomí zodpovedného pracovníka </w:t>
      </w:r>
      <w:r w:rsidR="009C0BA3">
        <w:rPr>
          <w:rFonts w:ascii="Arial" w:hAnsi="Arial" w:cs="Arial"/>
        </w:rPr>
        <w:t>Slovenskej kanoistiky</w:t>
      </w:r>
      <w:r w:rsidRPr="006F1411">
        <w:rPr>
          <w:rFonts w:ascii="Arial" w:hAnsi="Arial" w:cs="Arial"/>
        </w:rPr>
        <w:t xml:space="preserve"> a začne konanie za účelom opravy chybných údajov. Príprava k zaúčtovaniu spočíva v usporiadaní interných dokladov a priradenie interného čísla</w:t>
      </w:r>
      <w:r w:rsidR="00223FA0">
        <w:rPr>
          <w:rFonts w:ascii="Arial" w:hAnsi="Arial" w:cs="Arial"/>
        </w:rPr>
        <w:t xml:space="preserve">, vykonáva ju externý účtovník. </w:t>
      </w:r>
      <w:r w:rsidRPr="006F1411">
        <w:rPr>
          <w:rFonts w:ascii="Arial" w:hAnsi="Arial" w:cs="Arial"/>
        </w:rPr>
        <w:t>Externý účtovník zodpovedá za správnu predkontáciu účtovných dokladov uvedených na doklade. Po zaúčtovaní účtovný doklad potvrdí svojim podpisom tak, aby bolo zrejmé, kto doklad zaúčtoval.</w:t>
      </w:r>
    </w:p>
    <w:p w14:paraId="62899342" w14:textId="77777777" w:rsidR="005D25F9" w:rsidRPr="006F1411" w:rsidRDefault="005D25F9" w:rsidP="006F1411">
      <w:pPr>
        <w:rPr>
          <w:rFonts w:ascii="Arial" w:hAnsi="Arial" w:cs="Arial"/>
        </w:rPr>
      </w:pPr>
    </w:p>
    <w:p w14:paraId="2002A90E" w14:textId="6FA738D3" w:rsidR="00223FA0" w:rsidRDefault="00223FA0" w:rsidP="00143990">
      <w:pPr>
        <w:pStyle w:val="Odsekzoznamu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Mesačný reporting</w:t>
      </w:r>
    </w:p>
    <w:p w14:paraId="7E73E196" w14:textId="54C3B264" w:rsidR="00F81B32" w:rsidRPr="006F1411" w:rsidRDefault="00BB61DD" w:rsidP="00BB61D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Pokiaľ nie je vytvorený transparentný účet, ú</w:t>
      </w:r>
      <w:r w:rsidR="0065197A" w:rsidRPr="00F67663">
        <w:rPr>
          <w:rFonts w:ascii="Arial" w:hAnsi="Arial" w:cs="Arial"/>
        </w:rPr>
        <w:t>čtovník predkladá repo</w:t>
      </w:r>
      <w:r w:rsidR="00FA3CF0" w:rsidRPr="00F67663">
        <w:rPr>
          <w:rFonts w:ascii="Arial" w:hAnsi="Arial" w:cs="Arial"/>
        </w:rPr>
        <w:t xml:space="preserve">rting </w:t>
      </w:r>
      <w:r w:rsidR="00AC6494" w:rsidRPr="00F67663">
        <w:rPr>
          <w:rFonts w:ascii="Arial" w:hAnsi="Arial" w:cs="Arial"/>
        </w:rPr>
        <w:t>o použití príspevku uznanému športu z Ministerstva školstva, vedy, výskumu a športu Slovenskej republiky.k</w:t>
      </w:r>
      <w:r w:rsidR="00FA3CF0" w:rsidRPr="00F67663">
        <w:rPr>
          <w:rFonts w:ascii="Arial" w:hAnsi="Arial" w:cs="Arial"/>
        </w:rPr>
        <w:t xml:space="preserve"> 25. </w:t>
      </w:r>
      <w:r w:rsidR="00AC6494" w:rsidRPr="00F67663">
        <w:rPr>
          <w:rFonts w:ascii="Arial" w:hAnsi="Arial" w:cs="Arial"/>
        </w:rPr>
        <w:t>dňu</w:t>
      </w:r>
      <w:r w:rsidR="00FA3CF0" w:rsidRPr="00F67663">
        <w:rPr>
          <w:rFonts w:ascii="Arial" w:hAnsi="Arial" w:cs="Arial"/>
        </w:rPr>
        <w:t xml:space="preserve"> nasledujúceho mesiaca</w:t>
      </w:r>
      <w:r w:rsidR="00F67663">
        <w:rPr>
          <w:rFonts w:ascii="Arial" w:hAnsi="Arial" w:cs="Arial"/>
        </w:rPr>
        <w:t>.</w:t>
      </w:r>
      <w:bookmarkStart w:id="0" w:name="_GoBack"/>
      <w:bookmarkEnd w:id="0"/>
    </w:p>
    <w:p w14:paraId="3EA222F1" w14:textId="77777777" w:rsidR="00EA6C51" w:rsidRPr="006F1411" w:rsidRDefault="00EA6C51" w:rsidP="00EA6C51">
      <w:pPr>
        <w:keepLine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D233D4E" w14:textId="77777777" w:rsidR="00EA6C51" w:rsidRPr="006F1411" w:rsidRDefault="00EA6C51">
      <w:pPr>
        <w:rPr>
          <w:rFonts w:ascii="Arial" w:hAnsi="Arial" w:cs="Arial"/>
        </w:rPr>
      </w:pPr>
    </w:p>
    <w:p w14:paraId="7BF3DDA8" w14:textId="77777777" w:rsidR="006F1411" w:rsidRPr="006F1411" w:rsidRDefault="006F1411">
      <w:pPr>
        <w:rPr>
          <w:rFonts w:ascii="Arial" w:hAnsi="Arial" w:cs="Arial"/>
        </w:rPr>
      </w:pPr>
    </w:p>
    <w:sectPr w:rsidR="006F1411" w:rsidRPr="006F1411" w:rsidSect="00DB1D2C">
      <w:headerReference w:type="default" r:id="rId7"/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5A1F" w14:textId="77777777" w:rsidR="002E200F" w:rsidRDefault="002E200F" w:rsidP="002146A9">
      <w:r>
        <w:separator/>
      </w:r>
    </w:p>
  </w:endnote>
  <w:endnote w:type="continuationSeparator" w:id="0">
    <w:p w14:paraId="7796E57B" w14:textId="77777777" w:rsidR="002E200F" w:rsidRDefault="002E200F" w:rsidP="0021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002008"/>
      <w:docPartObj>
        <w:docPartGallery w:val="Page Numbers (Bottom of Page)"/>
        <w:docPartUnique/>
      </w:docPartObj>
    </w:sdtPr>
    <w:sdtEndPr/>
    <w:sdtContent>
      <w:p w14:paraId="78C4E985" w14:textId="77777777" w:rsidR="004210F0" w:rsidRDefault="002E200F">
        <w:pPr>
          <w:pStyle w:val="Pta"/>
        </w:pPr>
        <w:r>
          <w:rPr>
            <w:noProof/>
          </w:rPr>
          <w:pict w14:anchorId="365CE326">
            <v:group id="Skupina 33" o:spid="_x0000_s2049" style="position:absolute;margin-left:0;margin-top:0;width:594.3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<v:textbox inset="0,0,0,0">
                  <w:txbxContent>
                    <w:p w14:paraId="24830365" w14:textId="6B5C7650" w:rsidR="004210F0" w:rsidRDefault="004210F0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BB61DD" w:rsidRPr="00BB61DD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<v:shape id="AutoShape 28" o:spid="_x0000_s2051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86299" w14:textId="77777777" w:rsidR="002E200F" w:rsidRDefault="002E200F" w:rsidP="002146A9">
      <w:r>
        <w:separator/>
      </w:r>
    </w:p>
  </w:footnote>
  <w:footnote w:type="continuationSeparator" w:id="0">
    <w:p w14:paraId="4F602C34" w14:textId="77777777" w:rsidR="002E200F" w:rsidRDefault="002E200F" w:rsidP="0021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2BDF" w14:textId="77777777" w:rsidR="004210F0" w:rsidRPr="002146A9" w:rsidRDefault="004210F0" w:rsidP="00EA6C51">
    <w:pPr>
      <w:pStyle w:val="Hlavika"/>
      <w:tabs>
        <w:tab w:val="clear" w:pos="4536"/>
        <w:tab w:val="clear" w:pos="9072"/>
        <w:tab w:val="left" w:pos="14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51E"/>
    <w:multiLevelType w:val="multilevel"/>
    <w:tmpl w:val="DE0C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059BA"/>
    <w:multiLevelType w:val="multilevel"/>
    <w:tmpl w:val="E90C0156"/>
    <w:lvl w:ilvl="0">
      <w:start w:val="1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3307BD"/>
    <w:multiLevelType w:val="hybridMultilevel"/>
    <w:tmpl w:val="42C02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E3776"/>
    <w:multiLevelType w:val="multilevel"/>
    <w:tmpl w:val="AF52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F1829"/>
    <w:multiLevelType w:val="multilevel"/>
    <w:tmpl w:val="C21C4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C6326"/>
    <w:multiLevelType w:val="hybridMultilevel"/>
    <w:tmpl w:val="23EA263A"/>
    <w:lvl w:ilvl="0" w:tplc="24E6E2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D00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B85"/>
    <w:rsid w:val="00045613"/>
    <w:rsid w:val="00061C4F"/>
    <w:rsid w:val="000725A1"/>
    <w:rsid w:val="000C0574"/>
    <w:rsid w:val="000E3652"/>
    <w:rsid w:val="00117E34"/>
    <w:rsid w:val="00136F15"/>
    <w:rsid w:val="00143990"/>
    <w:rsid w:val="001449B4"/>
    <w:rsid w:val="001F7A01"/>
    <w:rsid w:val="002146A9"/>
    <w:rsid w:val="00223FA0"/>
    <w:rsid w:val="00261AF6"/>
    <w:rsid w:val="002848BB"/>
    <w:rsid w:val="002B7949"/>
    <w:rsid w:val="002E200F"/>
    <w:rsid w:val="00317A20"/>
    <w:rsid w:val="003C6390"/>
    <w:rsid w:val="004210F0"/>
    <w:rsid w:val="004F6487"/>
    <w:rsid w:val="0050276D"/>
    <w:rsid w:val="005358CC"/>
    <w:rsid w:val="005636C8"/>
    <w:rsid w:val="00573DDB"/>
    <w:rsid w:val="005D25F9"/>
    <w:rsid w:val="0065197A"/>
    <w:rsid w:val="00694F18"/>
    <w:rsid w:val="006F1411"/>
    <w:rsid w:val="007705CB"/>
    <w:rsid w:val="007C3B0C"/>
    <w:rsid w:val="008D267B"/>
    <w:rsid w:val="008E1D8F"/>
    <w:rsid w:val="00923080"/>
    <w:rsid w:val="009C0BA3"/>
    <w:rsid w:val="00A00BEB"/>
    <w:rsid w:val="00A06B85"/>
    <w:rsid w:val="00AC6494"/>
    <w:rsid w:val="00BA3BE2"/>
    <w:rsid w:val="00BA594F"/>
    <w:rsid w:val="00BB61DD"/>
    <w:rsid w:val="00BD4D3B"/>
    <w:rsid w:val="00BE2D80"/>
    <w:rsid w:val="00C354D1"/>
    <w:rsid w:val="00C54295"/>
    <w:rsid w:val="00CF6CDC"/>
    <w:rsid w:val="00DB1D2C"/>
    <w:rsid w:val="00DE5597"/>
    <w:rsid w:val="00E647D7"/>
    <w:rsid w:val="00E665B6"/>
    <w:rsid w:val="00E83707"/>
    <w:rsid w:val="00EA6C51"/>
    <w:rsid w:val="00EB4DDA"/>
    <w:rsid w:val="00EC5063"/>
    <w:rsid w:val="00EC776A"/>
    <w:rsid w:val="00EF61F1"/>
    <w:rsid w:val="00F12FD3"/>
    <w:rsid w:val="00F67663"/>
    <w:rsid w:val="00F81B32"/>
    <w:rsid w:val="00F830F4"/>
    <w:rsid w:val="00F917B3"/>
    <w:rsid w:val="00FA3CF0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6C24419"/>
  <w15:docId w15:val="{8B908927-CA14-4DB4-BEA1-EF438F9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1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146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146A9"/>
  </w:style>
  <w:style w:type="paragraph" w:styleId="Pta">
    <w:name w:val="footer"/>
    <w:basedOn w:val="Normlny"/>
    <w:link w:val="PtaChar"/>
    <w:uiPriority w:val="99"/>
    <w:unhideWhenUsed/>
    <w:rsid w:val="002146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46A9"/>
  </w:style>
  <w:style w:type="paragraph" w:styleId="Normlnywebov">
    <w:name w:val="Normal (Web)"/>
    <w:basedOn w:val="Normlny"/>
    <w:uiPriority w:val="99"/>
    <w:semiHidden/>
    <w:unhideWhenUsed/>
    <w:rsid w:val="002146A9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EA6C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A594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59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59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594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59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94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94F"/>
    <w:rPr>
      <w:rFonts w:ascii="Lucida Grande" w:eastAsia="Times New Roman" w:hAnsi="Lucida Grande" w:cs="Lucida Grande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Kovar, Oldrich</dc:creator>
  <cp:lastModifiedBy>Boris Bergendi</cp:lastModifiedBy>
  <cp:revision>39</cp:revision>
  <dcterms:created xsi:type="dcterms:W3CDTF">2017-03-14T13:49:00Z</dcterms:created>
  <dcterms:modified xsi:type="dcterms:W3CDTF">2017-05-18T11:04:00Z</dcterms:modified>
</cp:coreProperties>
</file>